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tLeast"/>
        <w:jc w:val="both"/>
        <w:rPr>
          <w:rFonts w:hint="eastAsia" w:ascii="华文中宋" w:hAnsi="华文中宋" w:eastAsia="华文中宋" w:cs="宋体"/>
          <w:b/>
          <w:color w:val="FF0000"/>
          <w:spacing w:val="40"/>
          <w:w w:val="80"/>
          <w:kern w:val="0"/>
          <w:sz w:val="72"/>
          <w:szCs w:val="72"/>
        </w:rPr>
      </w:pPr>
      <w:r>
        <w:rPr>
          <w:rFonts w:hint="eastAsia" w:ascii="黑体" w:hAnsi="黑体" w:eastAsia="黑体" w:cs="黑体"/>
          <w:b/>
          <w:color w:val="FF0000"/>
          <w:spacing w:val="40"/>
          <w:w w:val="80"/>
          <w:kern w:val="0"/>
          <w:sz w:val="72"/>
          <w:szCs w:val="72"/>
        </w:rPr>
        <w:t>福州职业技术学院学生工作处</w:t>
      </w:r>
    </w:p>
    <w:p>
      <w:pPr>
        <w:spacing w:line="580" w:lineRule="exact"/>
        <w:ind w:firstLine="2500" w:firstLineChars="2500"/>
        <w:rPr>
          <w:rFonts w:hint="eastAsia" w:ascii="仿宋_GB2312" w:eastAsia="仿宋_GB2312"/>
          <w:sz w:val="10"/>
          <w:szCs w:val="32"/>
        </w:rPr>
      </w:pPr>
    </w:p>
    <w:p>
      <w:pPr>
        <w:spacing w:line="580" w:lineRule="exact"/>
        <w:jc w:val="center"/>
        <w:rPr>
          <w:rFonts w:hint="eastAsia" w:ascii="仿宋_GB2312" w:hAnsi="仿宋" w:eastAsia="仿宋_GB2312"/>
          <w:sz w:val="32"/>
          <w:szCs w:val="32"/>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-23495</wp:posOffset>
                </wp:positionH>
                <wp:positionV relativeFrom="paragraph">
                  <wp:posOffset>392430</wp:posOffset>
                </wp:positionV>
                <wp:extent cx="5600700" cy="190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0700" cy="190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5pt;margin-top:30.9pt;height:0.15pt;width:441pt;z-index:251658240;mso-width-relative:page;mso-height-relative:page;" filled="f" stroked="t" coordsize="21600,21600" o:gfxdata="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G/LtqdcAAAAIAQAADwAA&#10;AAAAAAABACAAAAAiAAAAZHJzL2Rvd25yZXYueG1sUEsBAhQAFAAAAAgAh07iQFnlH8beAQAAmgMA&#10;AA4AAAAAAAAAAQAgAAAAJgEAAGRycy9lMm9Eb2MueG1sUEsFBgAAAAAGAAYAWQEAAHYFAAAAAA==&#10;">
                <v:fill on="f" focussize="0,0"/>
                <v:stroke weight="2.25pt" color="#FF0000" joinstyle="round"/>
                <v:imagedata o:title=""/>
                <o:lock v:ext="edit" aspectratio="f"/>
              </v:line>
            </w:pict>
          </mc:Fallback>
        </mc:AlternateContent>
      </w:r>
      <w:r>
        <w:rPr>
          <w:rFonts w:hint="eastAsia" w:ascii="仿宋_GB2312" w:hAnsi="仿宋" w:eastAsia="仿宋_GB2312"/>
          <w:sz w:val="32"/>
          <w:szCs w:val="32"/>
        </w:rPr>
        <w:t>榕职院学〔20</w:t>
      </w:r>
      <w:r>
        <w:rPr>
          <w:rFonts w:hint="eastAsia" w:ascii="仿宋_GB2312" w:hAnsi="仿宋" w:eastAsia="仿宋_GB2312"/>
          <w:sz w:val="32"/>
          <w:szCs w:val="32"/>
          <w:lang w:val="en-US" w:eastAsia="zh-CN"/>
        </w:rPr>
        <w:t>20</w:t>
      </w:r>
      <w:r>
        <w:rPr>
          <w:rFonts w:hint="eastAsia" w:ascii="仿宋_GB2312" w:hAnsi="仿宋" w:eastAsia="仿宋_GB2312"/>
          <w:sz w:val="32"/>
          <w:szCs w:val="32"/>
        </w:rPr>
        <w:t>〕</w:t>
      </w:r>
      <w:r>
        <w:rPr>
          <w:rFonts w:hint="eastAsia" w:ascii="仿宋_GB2312" w:hAnsi="仿宋" w:eastAsia="仿宋_GB2312"/>
          <w:sz w:val="32"/>
          <w:szCs w:val="32"/>
          <w:lang w:val="en-US" w:eastAsia="zh-CN"/>
        </w:rPr>
        <w:t>19</w:t>
      </w:r>
      <w:r>
        <w:rPr>
          <w:rFonts w:hint="eastAsia" w:ascii="仿宋_GB2312" w:hAnsi="仿宋" w:eastAsia="仿宋_GB2312"/>
          <w:sz w:val="32"/>
          <w:szCs w:val="32"/>
        </w:rPr>
        <w:t>号</w:t>
      </w:r>
    </w:p>
    <w:p>
      <w:pPr>
        <w:pStyle w:val="4"/>
        <w:widowControl/>
        <w:tabs>
          <w:tab w:val="center" w:pos="4459"/>
          <w:tab w:val="left" w:pos="7350"/>
        </w:tabs>
        <w:spacing w:before="0" w:beforeAutospacing="0" w:after="0" w:afterAutospacing="0" w:line="600" w:lineRule="exact"/>
        <w:ind w:left="0" w:right="0"/>
        <w:jc w:val="center"/>
        <w:rPr>
          <w:rFonts w:hint="eastAsia" w:ascii="方正小标宋简体" w:hAnsi="华文中宋" w:eastAsia="方正小标宋简体" w:cs="Times New Roman"/>
          <w:b/>
          <w:sz w:val="36"/>
          <w:szCs w:val="36"/>
          <w:lang w:bidi="ar-SA"/>
        </w:rPr>
      </w:pPr>
    </w:p>
    <w:p>
      <w:pPr>
        <w:pStyle w:val="4"/>
        <w:widowControl/>
        <w:tabs>
          <w:tab w:val="center" w:pos="4459"/>
          <w:tab w:val="left" w:pos="7350"/>
        </w:tabs>
        <w:spacing w:before="0" w:beforeAutospacing="0" w:after="0" w:afterAutospacing="0" w:line="600" w:lineRule="exact"/>
        <w:ind w:left="0" w:right="0"/>
        <w:jc w:val="center"/>
        <w:rPr>
          <w:rFonts w:hint="eastAsia" w:ascii="方正小标宋简体" w:hAnsi="华文中宋" w:eastAsia="方正小标宋简体" w:cs="Times New Roman"/>
          <w:b/>
          <w:color w:val="auto"/>
          <w:sz w:val="36"/>
          <w:szCs w:val="36"/>
          <w:lang w:bidi="ar-SA"/>
        </w:rPr>
      </w:pPr>
      <w:r>
        <w:rPr>
          <w:rFonts w:hint="eastAsia" w:ascii="方正小标宋简体" w:hAnsi="华文中宋" w:eastAsia="方正小标宋简体" w:cs="Times New Roman"/>
          <w:b/>
          <w:color w:val="auto"/>
          <w:sz w:val="36"/>
          <w:szCs w:val="36"/>
          <w:lang w:bidi="ar-SA"/>
        </w:rPr>
        <w:t>关于做好20</w:t>
      </w:r>
      <w:r>
        <w:rPr>
          <w:rFonts w:hint="eastAsia" w:ascii="方正小标宋简体" w:hAnsi="华文中宋" w:eastAsia="方正小标宋简体" w:cs="Times New Roman"/>
          <w:b/>
          <w:color w:val="auto"/>
          <w:sz w:val="36"/>
          <w:szCs w:val="36"/>
          <w:lang w:val="en-US" w:eastAsia="zh-CN" w:bidi="ar-SA"/>
        </w:rPr>
        <w:t>20</w:t>
      </w:r>
      <w:r>
        <w:rPr>
          <w:rFonts w:hint="eastAsia" w:ascii="方正小标宋简体" w:hAnsi="华文中宋" w:eastAsia="方正小标宋简体" w:cs="Times New Roman"/>
          <w:b/>
          <w:color w:val="auto"/>
          <w:sz w:val="36"/>
          <w:szCs w:val="36"/>
          <w:lang w:bidi="ar-SA"/>
        </w:rPr>
        <w:t>年</w:t>
      </w:r>
      <w:r>
        <w:rPr>
          <w:rFonts w:hint="eastAsia" w:ascii="方正小标宋简体" w:hAnsi="华文中宋" w:eastAsia="方正小标宋简体" w:cs="Times New Roman"/>
          <w:b/>
          <w:color w:val="auto"/>
          <w:sz w:val="36"/>
          <w:szCs w:val="36"/>
          <w:lang w:val="en-US" w:eastAsia="zh-CN" w:bidi="ar-SA"/>
        </w:rPr>
        <w:t>“五一”</w:t>
      </w:r>
      <w:r>
        <w:rPr>
          <w:rFonts w:hint="eastAsia" w:ascii="方正小标宋简体" w:hAnsi="华文中宋" w:eastAsia="方正小标宋简体" w:cs="Times New Roman"/>
          <w:b/>
          <w:color w:val="auto"/>
          <w:sz w:val="36"/>
          <w:szCs w:val="36"/>
          <w:lang w:eastAsia="zh-CN" w:bidi="ar-SA"/>
        </w:rPr>
        <w:t>劳动节</w:t>
      </w:r>
      <w:r>
        <w:rPr>
          <w:rFonts w:hint="eastAsia" w:ascii="方正小标宋简体" w:hAnsi="华文中宋" w:eastAsia="方正小标宋简体" w:cs="Times New Roman"/>
          <w:b/>
          <w:color w:val="auto"/>
          <w:sz w:val="36"/>
          <w:szCs w:val="36"/>
          <w:lang w:bidi="ar-SA"/>
        </w:rPr>
        <w:t>期间</w:t>
      </w:r>
    </w:p>
    <w:p>
      <w:pPr>
        <w:pStyle w:val="4"/>
        <w:widowControl/>
        <w:tabs>
          <w:tab w:val="center" w:pos="4459"/>
          <w:tab w:val="left" w:pos="7350"/>
        </w:tabs>
        <w:spacing w:before="0" w:beforeAutospacing="0" w:after="0" w:afterAutospacing="0" w:line="600" w:lineRule="exact"/>
        <w:ind w:left="0" w:right="0"/>
        <w:jc w:val="center"/>
        <w:rPr>
          <w:rFonts w:hint="eastAsia" w:ascii="方正小标宋简体" w:hAnsi="华文中宋" w:eastAsia="方正小标宋简体" w:cs="Times New Roman"/>
          <w:b/>
          <w:color w:val="auto"/>
          <w:sz w:val="36"/>
          <w:szCs w:val="36"/>
          <w:lang w:bidi="ar-SA"/>
        </w:rPr>
      </w:pPr>
      <w:r>
        <w:rPr>
          <w:rFonts w:hint="eastAsia" w:ascii="方正小标宋简体" w:hAnsi="华文中宋" w:eastAsia="方正小标宋简体" w:cs="Times New Roman"/>
          <w:b/>
          <w:color w:val="auto"/>
          <w:sz w:val="36"/>
          <w:szCs w:val="36"/>
          <w:lang w:bidi="ar-SA"/>
        </w:rPr>
        <w:t>学生</w:t>
      </w:r>
      <w:r>
        <w:rPr>
          <w:rFonts w:hint="eastAsia" w:ascii="方正小标宋简体" w:hAnsi="华文中宋" w:eastAsia="方正小标宋简体" w:cs="Times New Roman"/>
          <w:b/>
          <w:color w:val="auto"/>
          <w:sz w:val="36"/>
          <w:szCs w:val="36"/>
          <w:lang w:val="en-US" w:eastAsia="zh-CN" w:bidi="ar-SA"/>
        </w:rPr>
        <w:t>教育管理</w:t>
      </w:r>
      <w:r>
        <w:rPr>
          <w:rFonts w:hint="eastAsia" w:ascii="方正小标宋简体" w:hAnsi="华文中宋" w:eastAsia="方正小标宋简体" w:cs="Times New Roman"/>
          <w:b/>
          <w:color w:val="auto"/>
          <w:sz w:val="36"/>
          <w:szCs w:val="36"/>
          <w:lang w:bidi="ar-SA"/>
        </w:rPr>
        <w:t>工作的通知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jc w:val="left"/>
        <w:rPr>
          <w:rFonts w:hint="eastAsia" w:ascii="方正小标宋简体" w:hAnsi="方正小标宋简体" w:eastAsia="方正小标宋简体" w:cs="方正小标宋简体"/>
          <w:color w:val="auto"/>
          <w:sz w:val="36"/>
          <w:szCs w:val="36"/>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jc w:val="left"/>
        <w:rPr>
          <w:rFonts w:hint="eastAsia" w:ascii="仿宋" w:hAnsi="仿宋" w:eastAsia="仿宋" w:cs="仿宋"/>
          <w:b w:val="0"/>
          <w:bCs/>
          <w:i w:val="0"/>
          <w:caps w:val="0"/>
          <w:color w:val="auto"/>
          <w:spacing w:val="0"/>
          <w:kern w:val="0"/>
          <w:sz w:val="28"/>
          <w:szCs w:val="28"/>
          <w:lang w:val="en-US" w:eastAsia="zh-CN" w:bidi="ar"/>
        </w:rPr>
      </w:pPr>
      <w:r>
        <w:rPr>
          <w:rFonts w:ascii="仿宋" w:hAnsi="仿宋" w:eastAsia="仿宋" w:cs="仿宋"/>
          <w:b w:val="0"/>
          <w:bCs/>
          <w:i w:val="0"/>
          <w:caps w:val="0"/>
          <w:color w:val="auto"/>
          <w:spacing w:val="0"/>
          <w:kern w:val="0"/>
          <w:sz w:val="28"/>
          <w:szCs w:val="28"/>
          <w:lang w:val="en-US" w:eastAsia="zh-CN" w:bidi="ar"/>
        </w:rPr>
        <w:t>各</w:t>
      </w:r>
      <w:r>
        <w:rPr>
          <w:rFonts w:hint="eastAsia" w:ascii="仿宋" w:hAnsi="仿宋" w:eastAsia="仿宋" w:cs="仿宋"/>
          <w:b w:val="0"/>
          <w:bCs/>
          <w:i w:val="0"/>
          <w:caps w:val="0"/>
          <w:color w:val="auto"/>
          <w:spacing w:val="0"/>
          <w:kern w:val="0"/>
          <w:sz w:val="28"/>
          <w:szCs w:val="28"/>
          <w:lang w:val="en-US" w:eastAsia="zh-CN" w:bidi="ar"/>
        </w:rPr>
        <w:t>二级</w:t>
      </w:r>
      <w:bookmarkStart w:id="0" w:name="_GoBack"/>
      <w:bookmarkEnd w:id="0"/>
      <w:r>
        <w:rPr>
          <w:rFonts w:hint="eastAsia" w:ascii="仿宋" w:hAnsi="仿宋" w:eastAsia="仿宋" w:cs="仿宋"/>
          <w:b w:val="0"/>
          <w:bCs/>
          <w:i w:val="0"/>
          <w:caps w:val="0"/>
          <w:color w:val="auto"/>
          <w:spacing w:val="0"/>
          <w:kern w:val="0"/>
          <w:sz w:val="28"/>
          <w:szCs w:val="28"/>
          <w:lang w:val="en-US" w:eastAsia="zh-CN" w:bidi="ar"/>
        </w:rPr>
        <w:t>学院:</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firstLine="560" w:firstLineChars="20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根据《福州职业技术学院关于2020年劳动节期间工作时间安排的通知》（榕职院办〔2020〕3号）等相关文件，为做好“五一”劳动节假期学生</w:t>
      </w:r>
      <w:r>
        <w:rPr>
          <w:rFonts w:hint="eastAsia" w:ascii="仿宋" w:hAnsi="仿宋" w:eastAsia="仿宋" w:cs="仿宋"/>
          <w:b w:val="0"/>
          <w:bCs/>
          <w:i w:val="0"/>
          <w:caps w:val="0"/>
          <w:color w:val="auto"/>
          <w:spacing w:val="0"/>
          <w:kern w:val="0"/>
          <w:sz w:val="28"/>
          <w:szCs w:val="28"/>
          <w:highlight w:val="none"/>
          <w:lang w:val="en-US" w:eastAsia="zh-CN" w:bidi="ar"/>
        </w:rPr>
        <w:t>新冠肺炎疫情防控和学生教育管理</w:t>
      </w:r>
      <w:r>
        <w:rPr>
          <w:rFonts w:hint="eastAsia" w:ascii="仿宋" w:hAnsi="仿宋" w:eastAsia="仿宋" w:cs="仿宋"/>
          <w:b w:val="0"/>
          <w:bCs/>
          <w:i w:val="0"/>
          <w:caps w:val="0"/>
          <w:color w:val="auto"/>
          <w:spacing w:val="0"/>
          <w:kern w:val="0"/>
          <w:sz w:val="28"/>
          <w:szCs w:val="28"/>
          <w:lang w:val="en-US" w:eastAsia="zh-CN" w:bidi="ar"/>
        </w:rPr>
        <w:t>工作，确保学生身体健康和生命财产安全，现将 “五一”期间学生教育管理工作的相关事宜通知如下：</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rightChars="0" w:firstLine="562" w:firstLineChars="200"/>
        <w:jc w:val="left"/>
        <w:rPr>
          <w:rFonts w:hint="eastAsia" w:ascii="黑体" w:hAnsi="黑体" w:eastAsia="黑体" w:cs="黑体"/>
          <w:b/>
          <w:bCs w:val="0"/>
          <w:i w:val="0"/>
          <w:caps w:val="0"/>
          <w:color w:val="auto"/>
          <w:spacing w:val="0"/>
          <w:kern w:val="0"/>
          <w:sz w:val="28"/>
          <w:szCs w:val="28"/>
          <w:lang w:val="en-US" w:eastAsia="zh-CN" w:bidi="ar"/>
        </w:rPr>
      </w:pPr>
      <w:r>
        <w:rPr>
          <w:rFonts w:hint="eastAsia" w:ascii="黑体" w:hAnsi="黑体" w:eastAsia="黑体" w:cs="黑体"/>
          <w:b/>
          <w:bCs w:val="0"/>
          <w:i w:val="0"/>
          <w:caps w:val="0"/>
          <w:color w:val="auto"/>
          <w:spacing w:val="0"/>
          <w:kern w:val="0"/>
          <w:sz w:val="28"/>
          <w:szCs w:val="28"/>
          <w:lang w:val="en-US" w:eastAsia="zh-CN" w:bidi="ar"/>
        </w:rPr>
        <w:t>一、严格落实疫情防控工作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rightChars="0"/>
        <w:jc w:val="left"/>
        <w:rPr>
          <w:rFonts w:hint="default" w:ascii="黑体" w:hAnsi="黑体" w:eastAsia="黑体" w:cs="黑体"/>
          <w:b/>
          <w:bCs w:val="0"/>
          <w:i w:val="0"/>
          <w:caps w:val="0"/>
          <w:color w:val="auto"/>
          <w:spacing w:val="0"/>
          <w:kern w:val="0"/>
          <w:sz w:val="28"/>
          <w:szCs w:val="28"/>
          <w:lang w:val="en-US" w:eastAsia="zh-CN" w:bidi="ar"/>
        </w:rPr>
      </w:pPr>
      <w:r>
        <w:rPr>
          <w:rFonts w:hint="eastAsia" w:ascii="黑体" w:hAnsi="黑体" w:eastAsia="黑体" w:cs="黑体"/>
          <w:b/>
          <w:bCs w:val="0"/>
          <w:i w:val="0"/>
          <w:caps w:val="0"/>
          <w:color w:val="auto"/>
          <w:spacing w:val="0"/>
          <w:kern w:val="0"/>
          <w:sz w:val="28"/>
          <w:szCs w:val="28"/>
          <w:lang w:val="en-US" w:eastAsia="zh-CN" w:bidi="ar"/>
        </w:rPr>
        <w:t xml:space="preserve">    </w:t>
      </w:r>
      <w:r>
        <w:rPr>
          <w:rFonts w:hint="eastAsia" w:ascii="仿宋" w:hAnsi="仿宋" w:eastAsia="仿宋" w:cs="仿宋"/>
          <w:b w:val="0"/>
          <w:bCs/>
          <w:i w:val="0"/>
          <w:caps w:val="0"/>
          <w:color w:val="auto"/>
          <w:spacing w:val="0"/>
          <w:kern w:val="0"/>
          <w:sz w:val="28"/>
          <w:szCs w:val="28"/>
          <w:lang w:val="en-US" w:eastAsia="zh-CN" w:bidi="ar"/>
        </w:rPr>
        <w:t>杜绝麻痹思想、厌战情绪、侥幸心理、松劲心态，继续严格落实疫情防控工作各项要求，落实学生“日报告”、“零报告”制度，切实做好假期学生健康监测工作，精准掌握学生假期行踪和身体健康状况，按时做好数据统计报送工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rightChars="0" w:firstLine="562" w:firstLineChars="200"/>
        <w:jc w:val="left"/>
        <w:rPr>
          <w:rFonts w:hint="eastAsia" w:ascii="黑体" w:hAnsi="黑体" w:eastAsia="黑体" w:cs="黑体"/>
          <w:b/>
          <w:bCs w:val="0"/>
          <w:i w:val="0"/>
          <w:caps w:val="0"/>
          <w:color w:val="auto"/>
          <w:spacing w:val="0"/>
          <w:kern w:val="0"/>
          <w:sz w:val="28"/>
          <w:szCs w:val="28"/>
          <w:lang w:val="en-US" w:eastAsia="zh-CN" w:bidi="ar"/>
        </w:rPr>
      </w:pPr>
      <w:r>
        <w:rPr>
          <w:rFonts w:hint="eastAsia" w:ascii="黑体" w:hAnsi="黑体" w:eastAsia="黑体" w:cs="黑体"/>
          <w:b/>
          <w:bCs w:val="0"/>
          <w:i w:val="0"/>
          <w:caps w:val="0"/>
          <w:color w:val="auto"/>
          <w:spacing w:val="0"/>
          <w:kern w:val="0"/>
          <w:sz w:val="28"/>
          <w:szCs w:val="28"/>
          <w:lang w:val="en-US" w:eastAsia="zh-CN" w:bidi="ar"/>
        </w:rPr>
        <w:t>二、强化疫情防控知识宣传</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firstLine="560" w:firstLineChars="200"/>
        <w:jc w:val="left"/>
        <w:rPr>
          <w:rFonts w:hint="default"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在“五一”假期对全体学生进行一次疫情防控知识教育，引导广大学生自觉遵守当地政府和学校关于疫情防控的相关管理规定，要求学生做好假期个人安全防护，不去人员密集场所，坚持“非必须、不外出”，少聚集、不聚餐。落实人员流动管理，原则上“五一”假期学生一律不得离开居住地市，不得前往疫情高风险地区，严禁跨市跨省跨境旅游，避免影响返校复学，严禁擅自提前返回学校。有行程安排的必须提前向辅导员报备。</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right="0" w:rightChars="0" w:firstLine="562" w:firstLineChars="200"/>
        <w:jc w:val="left"/>
        <w:rPr>
          <w:rFonts w:hint="eastAsia" w:ascii="黑体" w:hAnsi="黑体" w:eastAsia="黑体" w:cs="黑体"/>
          <w:b/>
          <w:bCs w:val="0"/>
          <w:i w:val="0"/>
          <w:caps w:val="0"/>
          <w:color w:val="auto"/>
          <w:spacing w:val="0"/>
          <w:kern w:val="0"/>
          <w:sz w:val="28"/>
          <w:szCs w:val="28"/>
          <w:lang w:val="en-US" w:eastAsia="zh-CN" w:bidi="ar"/>
        </w:rPr>
      </w:pPr>
      <w:r>
        <w:rPr>
          <w:rFonts w:hint="eastAsia" w:ascii="黑体" w:hAnsi="黑体" w:eastAsia="黑体" w:cs="黑体"/>
          <w:b/>
          <w:bCs w:val="0"/>
          <w:i w:val="0"/>
          <w:caps w:val="0"/>
          <w:color w:val="auto"/>
          <w:spacing w:val="0"/>
          <w:kern w:val="0"/>
          <w:sz w:val="28"/>
          <w:szCs w:val="28"/>
          <w:lang w:val="en-US" w:eastAsia="zh-CN" w:bidi="ar"/>
        </w:rPr>
        <w:t>三、加强学生安全教育</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640"/>
        <w:jc w:val="left"/>
        <w:rPr>
          <w:b w:val="0"/>
          <w:bCs/>
          <w:color w:val="auto"/>
          <w:sz w:val="28"/>
          <w:szCs w:val="28"/>
        </w:rPr>
      </w:pPr>
      <w:r>
        <w:rPr>
          <w:rFonts w:hint="eastAsia" w:ascii="仿宋" w:hAnsi="仿宋" w:eastAsia="仿宋" w:cs="仿宋"/>
          <w:b w:val="0"/>
          <w:bCs/>
          <w:i w:val="0"/>
          <w:caps w:val="0"/>
          <w:color w:val="auto"/>
          <w:spacing w:val="0"/>
          <w:kern w:val="0"/>
          <w:sz w:val="28"/>
          <w:szCs w:val="28"/>
          <w:lang w:val="en-US" w:eastAsia="zh-CN" w:bidi="ar"/>
        </w:rPr>
        <w:t>通过线上形式对全体学生进行防溺水、防火灾、防交通事故、防诈骗等安全教育，做到毫不松懈、警钟长鸣。强化法制意识、纪律意识、安全意识，自觉遵守社会公德，自觉维护社会秩序。</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640"/>
        <w:jc w:val="left"/>
        <w:rPr>
          <w:rFonts w:hint="eastAsia" w:ascii="仿宋" w:hAnsi="仿宋" w:eastAsia="仿宋" w:cs="仿宋"/>
          <w:b w:val="0"/>
          <w:bCs/>
          <w:i w:val="0"/>
          <w:caps w:val="0"/>
          <w:color w:val="auto"/>
          <w:spacing w:val="0"/>
          <w:kern w:val="0"/>
          <w:sz w:val="28"/>
          <w:szCs w:val="28"/>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640"/>
        <w:jc w:val="left"/>
        <w:rPr>
          <w:rFonts w:hint="eastAsia"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 xml:space="preserve">                       福州职业技术学院学生工作处</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640"/>
        <w:jc w:val="left"/>
        <w:rPr>
          <w:rFonts w:hint="default" w:ascii="仿宋" w:hAnsi="仿宋" w:eastAsia="仿宋" w:cs="仿宋"/>
          <w:b w:val="0"/>
          <w:bCs/>
          <w:i w:val="0"/>
          <w:caps w:val="0"/>
          <w:color w:val="auto"/>
          <w:spacing w:val="0"/>
          <w:kern w:val="0"/>
          <w:sz w:val="28"/>
          <w:szCs w:val="28"/>
          <w:lang w:val="en-US" w:eastAsia="zh-CN" w:bidi="ar"/>
        </w:rPr>
      </w:pPr>
      <w:r>
        <w:rPr>
          <w:rFonts w:hint="eastAsia" w:ascii="仿宋" w:hAnsi="仿宋" w:eastAsia="仿宋" w:cs="仿宋"/>
          <w:b w:val="0"/>
          <w:bCs/>
          <w:i w:val="0"/>
          <w:caps w:val="0"/>
          <w:color w:val="auto"/>
          <w:spacing w:val="0"/>
          <w:kern w:val="0"/>
          <w:sz w:val="28"/>
          <w:szCs w:val="28"/>
          <w:lang w:val="en-US" w:eastAsia="zh-CN" w:bidi="ar"/>
        </w:rPr>
        <w:t xml:space="preserve">                             2020年4月30日</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80" w:lineRule="atLeast"/>
        <w:ind w:left="0" w:right="0" w:firstLine="640"/>
        <w:jc w:val="left"/>
        <w:rPr>
          <w:rFonts w:hint="eastAsia" w:ascii="仿宋" w:hAnsi="仿宋" w:eastAsia="仿宋" w:cs="仿宋"/>
          <w:b/>
          <w:i w:val="0"/>
          <w:caps w:val="0"/>
          <w:color w:val="auto"/>
          <w:spacing w:val="0"/>
          <w:kern w:val="0"/>
          <w:sz w:val="28"/>
          <w:szCs w:val="28"/>
          <w:lang w:val="en-US" w:eastAsia="zh-CN" w:bidi="ar"/>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D26F5"/>
    <w:rsid w:val="09D707D5"/>
    <w:rsid w:val="127F578B"/>
    <w:rsid w:val="182D26F5"/>
    <w:rsid w:val="247F088C"/>
    <w:rsid w:val="2685164F"/>
    <w:rsid w:val="2D3634EF"/>
    <w:rsid w:val="34AE0440"/>
    <w:rsid w:val="3A2A54B0"/>
    <w:rsid w:val="428E0953"/>
    <w:rsid w:val="4CDE789B"/>
    <w:rsid w:val="661D7F85"/>
    <w:rsid w:val="6A266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kern w:val="0"/>
      <w:sz w:val="20"/>
      <w:szCs w:val="20"/>
    </w:rPr>
  </w:style>
  <w:style w:type="paragraph" w:styleId="3">
    <w:name w:val="Body Text"/>
    <w:basedOn w:val="1"/>
    <w:qFormat/>
    <w:uiPriority w:val="0"/>
    <w:pPr>
      <w:spacing w:after="12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2020-04-20T09:27:00Z</dcterms:created>
  <dc:creator>Administrator</dc:creator>
  <cp:lastModifiedBy>卖女孩的火柴1425279465</cp:lastModifiedBy>
  <cp:lastPrinted>2020-05-14T01:27:12Z</cp:lastPrinted>
  <dcterms:modified xsi:type="dcterms:W3CDTF">2020-05-14T01:27:31Z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