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right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学生工作处</w:t>
      </w:r>
    </w:p>
    <w:p>
      <w:pPr>
        <w:spacing w:line="400" w:lineRule="exact"/>
        <w:ind w:firstLine="2500" w:firstLineChars="2500"/>
        <w:rPr>
          <w:rFonts w:hint="eastAsia" w:ascii="仿宋_GB2312" w:eastAsia="仿宋_GB2312"/>
          <w:sz w:val="10"/>
        </w:rPr>
      </w:pPr>
    </w:p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28"/>
        </w:rPr>
      </w:pPr>
    </w:p>
    <w:p>
      <w:pPr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榕职院学〔2017〕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关于制定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福州职业技术学院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大学生分类培养方案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的通知</w:t>
      </w:r>
    </w:p>
    <w:p>
      <w:pPr>
        <w:spacing w:line="500" w:lineRule="exac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各处室、中心（馆）、二级学院：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为增强学生就业竞争力，全面提高学生综合素质，强化学习动机，实现学生个性化发展，学生工作处（毕业生就业指导中心）结合学校和高职学生实际，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根据校领导要求</w:t>
      </w:r>
      <w:r>
        <w:rPr>
          <w:rFonts w:hint="eastAsia" w:ascii="仿宋" w:hAnsi="仿宋" w:eastAsia="仿宋" w:cs="仿宋"/>
          <w:kern w:val="0"/>
          <w:sz w:val="28"/>
          <w:szCs w:val="28"/>
        </w:rPr>
        <w:t>提出 “就业型”、“创业型”、 “升学型”、“招考型”、“出国留学型”的分类培养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分工初步方案，请各单位根据相关职责制定培养方案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具体通知如下：</w:t>
      </w:r>
    </w:p>
    <w:p>
      <w:pPr>
        <w:spacing w:line="500" w:lineRule="exact"/>
        <w:ind w:firstLine="560" w:firstLineChars="200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一、责任分工</w:t>
      </w:r>
    </w:p>
    <w:tbl>
      <w:tblPr>
        <w:tblStyle w:val="6"/>
        <w:tblpPr w:leftFromText="180" w:rightFromText="180" w:vertAnchor="text" w:horzAnchor="page" w:tblpXSpec="center" w:tblpY="789"/>
        <w:tblW w:w="9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337"/>
        <w:gridCol w:w="1412"/>
        <w:gridCol w:w="2726"/>
        <w:gridCol w:w="1653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27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z w:val="28"/>
                <w:szCs w:val="28"/>
              </w:rPr>
              <w:t>培养目标</w:t>
            </w:r>
          </w:p>
        </w:tc>
        <w:tc>
          <w:tcPr>
            <w:tcW w:w="27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z w:val="28"/>
                <w:szCs w:val="28"/>
              </w:rPr>
              <w:t>建议培养途径</w:t>
            </w:r>
          </w:p>
        </w:tc>
        <w:tc>
          <w:tcPr>
            <w:tcW w:w="16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z w:val="28"/>
                <w:szCs w:val="28"/>
              </w:rPr>
              <w:t>牵头单位</w:t>
            </w:r>
          </w:p>
        </w:tc>
        <w:tc>
          <w:tcPr>
            <w:tcW w:w="15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11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大一上学期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4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过专业教育、职业生涯规划课程、第二三课堂活动，使学生更深入了解自己的专业，同时理解职业生涯规划的含义和意义，引导学生结合兴趣、专业等因素，初步确定自身生涯发展方向（就业型、创业型、升学型、出国留学型、招考型）。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1．新生入学教育；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职业生涯规划讲座；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3．“二早一晚”活动；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 职业生涯规划大赛；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5．职业生涯系统测评。</w:t>
            </w: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创新创业教育学院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（职业指导教研室）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各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二级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大一下学期、大二、大三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就业型</w:t>
            </w: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以就业岗位需求标准为导向，全方位强化“就业型”学生的专业技能、自我管理、人际管理、任务管理、岗位管理能力等综合能力，提升就业竞争力。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1.选修课模块；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2.专业技能方面讲座；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3.技能竞赛；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4.课外专业实践活动；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5.“二早一晚”活动；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6.就业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</w:rPr>
              <w:t>方面讲座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毕业生就业指导中心</w:t>
            </w:r>
          </w:p>
        </w:tc>
        <w:tc>
          <w:tcPr>
            <w:tcW w:w="152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各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二级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学院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公共教育</w:t>
            </w:r>
            <w:r>
              <w:rPr>
                <w:rFonts w:hint="eastAsia" w:ascii="仿宋" w:hAnsi="仿宋" w:eastAsia="仿宋" w:cs="仿宋"/>
                <w:sz w:val="24"/>
              </w:rPr>
              <w:t>部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教务处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创新创业教育学院（职业指导教研室）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继续教育中心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6.团委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创业型</w:t>
            </w: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增强学生创新精神，提升学生创业意识和实践能力，培养孵化创业项目。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1．选修课模块；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2．创业创新讲座；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3．创业创新大赛；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4．“二早一晚”活动。</w:t>
            </w: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创新创业教育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办公室</w:t>
            </w:r>
          </w:p>
        </w:tc>
        <w:tc>
          <w:tcPr>
            <w:tcW w:w="1529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创新创业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教育学院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各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二级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学院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教务处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毕业生就业指导中心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继续教育中心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6.团委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升学型</w:t>
            </w: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提升学生升学热情，提高毕业生升学率。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1．选修课模块：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2．专升本培训班；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3．专升本方面讲座；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4．专升本政策咨询服务；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5．“二早一晚”活动。</w:t>
            </w: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</w:t>
            </w:r>
          </w:p>
        </w:tc>
        <w:tc>
          <w:tcPr>
            <w:tcW w:w="152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各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二级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学院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继续教育中心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毕业生就业指导中心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4.团委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出国留学型</w:t>
            </w: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结合校国际联合办学项目，为“出国留学型”学生顺利留学提供全方位的教学和服务。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1．选修课模块；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2．出国留学政策咨询服务；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3．英语基础及专业课程；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4．出国留学方面讲座；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5．“二早一晚”活动。</w:t>
            </w: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国际教育学院</w:t>
            </w:r>
          </w:p>
        </w:tc>
        <w:tc>
          <w:tcPr>
            <w:tcW w:w="152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1.校办公室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各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二级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学院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教务处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继续教育中心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毕业生就业指导中心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6.团委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招考型</w:t>
            </w:r>
          </w:p>
        </w:tc>
        <w:tc>
          <w:tcPr>
            <w:tcW w:w="1412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提高学生对招考政策的了解度，提升毕业生招考录取率。</w:t>
            </w:r>
          </w:p>
        </w:tc>
        <w:tc>
          <w:tcPr>
            <w:tcW w:w="272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1．选修课模块；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2．招考方面各类培训讲座；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3．招考政策咨询；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4．“二早一晚”活动。</w:t>
            </w: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继续教育中心</w:t>
            </w:r>
          </w:p>
        </w:tc>
        <w:tc>
          <w:tcPr>
            <w:tcW w:w="1529" w:type="dxa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教务处</w:t>
            </w:r>
          </w:p>
          <w:p>
            <w:pPr>
              <w:numPr>
                <w:ilvl w:val="0"/>
                <w:numId w:val="2"/>
              </w:num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各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二级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学院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毕业生就业指导中心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4.团委</w:t>
            </w:r>
          </w:p>
        </w:tc>
      </w:tr>
    </w:tbl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二、工作进度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1.2017年11月3日-10日，各责任单位根据相关分工制定培养方案，并于2017年11月10日前提交至牵头单位。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2.2017年11月10-17日，各牵头部门汇总各责任单位方案，制定分类型培养方案（格式见附件），并于2017年11月17日前报送至学生工作处张忠君老师处，联系电话：83760327，邮箱：276960478@qq.com。</w:t>
      </w:r>
    </w:p>
    <w:p>
      <w:pPr>
        <w:numPr>
          <w:ilvl w:val="0"/>
          <w:numId w:val="3"/>
        </w:numPr>
        <w:spacing w:line="50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方案内容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各单位围绕培养目标、总体思路、培养体系的架构和内容、实施建议等方面制定方案。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四、工作要求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各单位要高度重视，以学生为中心，可通过开展学生座谈会、调查问卷等形式，在充分调研和讨论的基础上大胆创新，制定出科学可行、操作性强的方案。</w:t>
      </w:r>
    </w:p>
    <w:p>
      <w:pPr>
        <w:numPr>
          <w:ilvl w:val="0"/>
          <w:numId w:val="0"/>
        </w:numPr>
        <w:spacing w:line="5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附件：福州职业技术学院</w:t>
      </w:r>
      <w:r>
        <w:rPr>
          <w:rFonts w:hint="eastAsia" w:ascii="仿宋" w:hAnsi="仿宋" w:eastAsia="仿宋"/>
          <w:kern w:val="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lang w:eastAsia="zh-CN"/>
        </w:rPr>
        <w:t>型</w:t>
      </w:r>
      <w:r>
        <w:rPr>
          <w:rFonts w:hint="eastAsia" w:ascii="仿宋" w:hAnsi="仿宋" w:eastAsia="仿宋"/>
          <w:snapToGrid w:val="0"/>
          <w:kern w:val="0"/>
          <w:sz w:val="28"/>
          <w:szCs w:val="28"/>
        </w:rPr>
        <w:t>培养方案格式</w:t>
      </w:r>
    </w:p>
    <w:p>
      <w:pPr>
        <w:numPr>
          <w:ilvl w:val="0"/>
          <w:numId w:val="0"/>
        </w:numPr>
        <w:spacing w:line="500" w:lineRule="exac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福州职业技术学院学生工作处</w:t>
      </w:r>
    </w:p>
    <w:p>
      <w:pPr>
        <w:numPr>
          <w:ilvl w:val="0"/>
          <w:numId w:val="0"/>
        </w:numPr>
        <w:spacing w:line="500" w:lineRule="exact"/>
        <w:jc w:val="right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2017年11月3日</w:t>
      </w:r>
    </w:p>
    <w:p>
      <w:pPr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附件</w:t>
      </w: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hint="eastAsia" w:ascii="楷体" w:hAnsi="楷体" w:eastAsia="楷体" w:cs="楷体"/>
          <w:sz w:val="72"/>
          <w:szCs w:val="72"/>
          <w:lang w:eastAsia="zh-CN"/>
        </w:rPr>
      </w:pPr>
      <w:r>
        <w:rPr>
          <w:rFonts w:hint="eastAsia" w:ascii="楷体" w:hAnsi="楷体" w:eastAsia="楷体" w:cs="楷体"/>
          <w:sz w:val="72"/>
          <w:szCs w:val="72"/>
          <w:lang w:eastAsia="zh-CN"/>
        </w:rPr>
        <w:t>福州职业技术学院</w:t>
      </w: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44"/>
          <w:szCs w:val="44"/>
        </w:rPr>
      </w:pPr>
      <w:r>
        <w:rPr>
          <w:rFonts w:hint="eastAsia" w:ascii="仿宋" w:hAnsi="仿宋" w:eastAsia="仿宋"/>
          <w:kern w:val="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kern w:val="0"/>
          <w:sz w:val="44"/>
          <w:szCs w:val="44"/>
          <w:lang w:eastAsia="zh-CN"/>
        </w:rPr>
        <w:t>型</w:t>
      </w: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44"/>
          <w:szCs w:val="44"/>
        </w:rPr>
      </w:pPr>
      <w:r>
        <w:rPr>
          <w:rFonts w:hint="eastAsia" w:ascii="仿宋" w:hAnsi="仿宋" w:eastAsia="仿宋"/>
          <w:kern w:val="0"/>
          <w:sz w:val="44"/>
          <w:szCs w:val="44"/>
          <w:lang w:eastAsia="zh-CN"/>
        </w:rPr>
        <w:t>分类</w:t>
      </w:r>
      <w:r>
        <w:rPr>
          <w:rFonts w:hint="eastAsia" w:ascii="仿宋" w:hAnsi="仿宋" w:eastAsia="仿宋"/>
          <w:kern w:val="0"/>
          <w:sz w:val="44"/>
          <w:szCs w:val="44"/>
        </w:rPr>
        <w:t>培养方案（模板）</w:t>
      </w: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rPr>
          <w:rFonts w:ascii="仿宋" w:hAnsi="仿宋" w:eastAsia="仿宋"/>
          <w:kern w:val="0"/>
          <w:sz w:val="44"/>
          <w:szCs w:val="44"/>
        </w:rPr>
      </w:pPr>
    </w:p>
    <w:p>
      <w:pPr>
        <w:adjustRightInd w:val="0"/>
        <w:snapToGrid w:val="0"/>
        <w:spacing w:line="480" w:lineRule="auto"/>
        <w:rPr>
          <w:rFonts w:ascii="仿宋" w:hAnsi="仿宋" w:eastAsia="仿宋"/>
          <w:b/>
          <w:spacing w:val="54"/>
          <w:sz w:val="32"/>
          <w:szCs w:val="32"/>
        </w:rPr>
      </w:pPr>
    </w:p>
    <w:p>
      <w:pPr>
        <w:adjustRightInd w:val="0"/>
        <w:snapToGrid w:val="0"/>
        <w:spacing w:line="480" w:lineRule="auto"/>
        <w:rPr>
          <w:rFonts w:ascii="仿宋" w:hAnsi="仿宋" w:eastAsia="仿宋"/>
          <w:b/>
          <w:spacing w:val="54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二〇一七年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十一</w:t>
      </w:r>
      <w:r>
        <w:rPr>
          <w:rFonts w:hint="eastAsia" w:ascii="仿宋" w:hAnsi="仿宋" w:eastAsia="仿宋"/>
          <w:b/>
          <w:sz w:val="32"/>
          <w:szCs w:val="32"/>
        </w:rPr>
        <w:t>月 制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106" w:bottom="1418" w:left="141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  录</w:t>
      </w:r>
    </w:p>
    <w:p>
      <w:pPr>
        <w:tabs>
          <w:tab w:val="right" w:leader="dot" w:pos="9060"/>
        </w:tabs>
        <w:rPr>
          <w:rFonts w:ascii="仿宋" w:hAnsi="仿宋" w:eastAsia="仿宋"/>
        </w:rPr>
      </w:pP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TOC \o "1-3" \h \z \u </w:instrText>
      </w:r>
      <w:r>
        <w:rPr>
          <w:rFonts w:ascii="仿宋" w:hAnsi="仿宋" w:eastAsia="仿宋"/>
          <w:sz w:val="24"/>
        </w:rPr>
        <w:fldChar w:fldCharType="separate"/>
      </w:r>
      <w:r>
        <w:fldChar w:fldCharType="begin"/>
      </w:r>
      <w:r>
        <w:instrText xml:space="preserve"> HYPERLINK \l "_Toc479320010" </w:instrText>
      </w:r>
      <w:r>
        <w:fldChar w:fldCharType="separate"/>
      </w:r>
      <w:r>
        <w:rPr>
          <w:rFonts w:hint="eastAsia" w:ascii="仿宋" w:hAnsi="仿宋" w:eastAsia="仿宋" w:cs="宋体"/>
          <w:color w:val="0000FF"/>
          <w:kern w:val="0"/>
          <w:u w:val="single"/>
        </w:rPr>
        <w:t>一、</w:t>
      </w:r>
      <w:r>
        <w:rPr>
          <w:rFonts w:hint="eastAsia" w:ascii="仿宋" w:hAnsi="仿宋" w:eastAsia="仿宋" w:cs="宋体"/>
          <w:color w:val="0000FF"/>
          <w:kern w:val="0"/>
          <w:u w:val="single"/>
          <w:lang w:eastAsia="zh-CN"/>
        </w:rPr>
        <w:t>培养目标</w:t>
      </w:r>
      <w:r>
        <w:rPr>
          <w:rFonts w:ascii="仿宋" w:hAnsi="仿宋" w:eastAsia="仿宋"/>
        </w:rPr>
        <w:fldChar w:fldCharType="end"/>
      </w:r>
    </w:p>
    <w:p>
      <w:pPr>
        <w:tabs>
          <w:tab w:val="right" w:leader="dot" w:pos="9060"/>
        </w:tabs>
        <w:rPr>
          <w:rFonts w:ascii="仿宋" w:hAnsi="仿宋" w:eastAsia="仿宋"/>
        </w:rPr>
      </w:pPr>
      <w:r>
        <w:fldChar w:fldCharType="begin"/>
      </w:r>
      <w:r>
        <w:instrText xml:space="preserve"> HYPERLINK \l "_Toc479320011" </w:instrText>
      </w:r>
      <w:r>
        <w:fldChar w:fldCharType="separate"/>
      </w:r>
      <w:r>
        <w:rPr>
          <w:rFonts w:hint="eastAsia" w:ascii="仿宋" w:hAnsi="仿宋" w:eastAsia="仿宋" w:cs="宋体"/>
          <w:color w:val="0000FF"/>
          <w:kern w:val="0"/>
          <w:u w:val="single"/>
        </w:rPr>
        <w:t>二、</w:t>
      </w:r>
      <w:r>
        <w:rPr>
          <w:rFonts w:hint="eastAsia" w:ascii="仿宋" w:hAnsi="仿宋" w:eastAsia="仿宋" w:cs="宋体"/>
          <w:color w:val="0000FF"/>
          <w:kern w:val="0"/>
          <w:u w:val="single"/>
          <w:lang w:eastAsia="zh-CN"/>
        </w:rPr>
        <w:t>总体思路</w:t>
      </w:r>
      <w:r>
        <w:rPr>
          <w:rFonts w:ascii="仿宋" w:hAnsi="仿宋" w:eastAsia="仿宋"/>
        </w:rPr>
        <w:fldChar w:fldCharType="end"/>
      </w:r>
    </w:p>
    <w:p>
      <w:pPr>
        <w:tabs>
          <w:tab w:val="right" w:leader="dot" w:pos="9060"/>
        </w:tabs>
        <w:rPr>
          <w:rFonts w:ascii="仿宋" w:hAnsi="仿宋" w:eastAsia="仿宋"/>
        </w:rPr>
      </w:pPr>
      <w:r>
        <w:fldChar w:fldCharType="begin"/>
      </w:r>
      <w:r>
        <w:instrText xml:space="preserve"> HYPERLINK \l "_Toc479320015" </w:instrText>
      </w:r>
      <w:r>
        <w:fldChar w:fldCharType="separate"/>
      </w:r>
      <w:r>
        <w:rPr>
          <w:rFonts w:hint="eastAsia" w:ascii="仿宋" w:hAnsi="仿宋" w:eastAsia="仿宋" w:cs="宋体"/>
          <w:color w:val="0000FF"/>
          <w:kern w:val="0"/>
          <w:u w:val="single"/>
        </w:rPr>
        <w:t>三、</w:t>
      </w:r>
      <w:r>
        <w:rPr>
          <w:rFonts w:hint="eastAsia" w:ascii="仿宋" w:hAnsi="仿宋" w:eastAsia="仿宋" w:cs="宋体"/>
          <w:color w:val="0000FF"/>
          <w:kern w:val="0"/>
          <w:u w:val="single"/>
          <w:lang w:eastAsia="zh-CN"/>
        </w:rPr>
        <w:t>培养体系的架构和内容</w:t>
      </w:r>
      <w:r>
        <w:rPr>
          <w:rFonts w:ascii="仿宋" w:hAnsi="仿宋" w:eastAsia="仿宋"/>
        </w:rPr>
        <w:fldChar w:fldCharType="end"/>
      </w:r>
    </w:p>
    <w:p>
      <w:pPr>
        <w:tabs>
          <w:tab w:val="right" w:leader="dot" w:pos="9060"/>
        </w:tabs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1.培养体系</w:t>
      </w:r>
    </w:p>
    <w:p>
      <w:pPr>
        <w:tabs>
          <w:tab w:val="right" w:leader="dot" w:pos="9060"/>
        </w:tabs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2.工作安排</w:t>
      </w:r>
    </w:p>
    <w:p>
      <w:pPr>
        <w:tabs>
          <w:tab w:val="right" w:leader="dot" w:pos="9060"/>
        </w:tabs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3.培养进程说明</w:t>
      </w:r>
    </w:p>
    <w:p>
      <w:pPr>
        <w:tabs>
          <w:tab w:val="right" w:leader="dot" w:pos="9060"/>
        </w:tabs>
        <w:rPr>
          <w:rFonts w:ascii="仿宋" w:hAnsi="仿宋" w:eastAsia="仿宋"/>
        </w:rPr>
      </w:pPr>
      <w:r>
        <w:fldChar w:fldCharType="begin"/>
      </w:r>
      <w:r>
        <w:instrText xml:space="preserve"> HYPERLINK \l "_Toc479320018" </w:instrText>
      </w:r>
      <w:r>
        <w:fldChar w:fldCharType="separate"/>
      </w:r>
      <w:r>
        <w:rPr>
          <w:rFonts w:hint="eastAsia" w:ascii="仿宋" w:hAnsi="仿宋" w:eastAsia="仿宋" w:cs="宋体"/>
          <w:color w:val="0000FF"/>
          <w:kern w:val="0"/>
          <w:u w:val="single"/>
        </w:rPr>
        <w:t>四、</w:t>
      </w:r>
      <w:r>
        <w:rPr>
          <w:rFonts w:hint="eastAsia" w:ascii="仿宋" w:hAnsi="仿宋" w:eastAsia="仿宋" w:cs="宋体"/>
          <w:color w:val="0000FF"/>
          <w:kern w:val="0"/>
          <w:u w:val="single"/>
          <w:lang w:eastAsia="zh-CN"/>
        </w:rPr>
        <w:t>实施建议</w:t>
      </w:r>
      <w:r>
        <w:rPr>
          <w:rFonts w:ascii="仿宋" w:hAnsi="仿宋" w:eastAsia="仿宋"/>
        </w:rPr>
        <w:fldChar w:fldCharType="end"/>
      </w:r>
    </w:p>
    <w:p>
      <w:pPr>
        <w:tabs>
          <w:tab w:val="right" w:leader="dot" w:pos="9060"/>
        </w:tabs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1.组织形式建议</w:t>
      </w:r>
    </w:p>
    <w:p>
      <w:pPr>
        <w:tabs>
          <w:tab w:val="right" w:leader="dot" w:pos="9060"/>
        </w:tabs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2.培养体系评价建议</w:t>
      </w:r>
    </w:p>
    <w:p>
      <w:pPr>
        <w:tabs>
          <w:tab w:val="right" w:leader="dot" w:pos="9060"/>
        </w:tabs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3.管理的建议</w:t>
      </w:r>
    </w:p>
    <w:p>
      <w:pPr>
        <w:spacing w:line="360" w:lineRule="auto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sz w:val="24"/>
        </w:rPr>
        <w:fldChar w:fldCharType="end"/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编写说明</w:t>
      </w:r>
    </w:p>
    <w:p>
      <w:pPr>
        <w:widowControl/>
        <w:adjustRightInd w:val="0"/>
        <w:snapToGrid w:val="0"/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格式要求：</w:t>
      </w:r>
    </w:p>
    <w:p>
      <w:pPr>
        <w:widowControl/>
        <w:adjustRightInd w:val="0"/>
        <w:snapToGrid w:val="0"/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1．“页面设置”：</w:t>
      </w:r>
    </w:p>
    <w:p>
      <w:pPr>
        <w:widowControl/>
        <w:adjustRightInd w:val="0"/>
        <w:snapToGrid w:val="0"/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纸型为</w:t>
      </w:r>
      <w:r>
        <w:rPr>
          <w:rFonts w:ascii="仿宋" w:hAnsi="仿宋" w:eastAsia="仿宋"/>
          <w:sz w:val="24"/>
        </w:rPr>
        <w:t>A4</w:t>
      </w:r>
      <w:r>
        <w:rPr>
          <w:rFonts w:hint="eastAsia" w:ascii="仿宋" w:hAnsi="仿宋" w:eastAsia="仿宋"/>
          <w:sz w:val="24"/>
        </w:rPr>
        <w:t>；页边距为上2</w:t>
      </w:r>
      <w:r>
        <w:rPr>
          <w:rFonts w:ascii="仿宋" w:hAnsi="仿宋" w:eastAsia="仿宋"/>
          <w:sz w:val="24"/>
        </w:rPr>
        <w:t>.5cm</w:t>
      </w:r>
      <w:r>
        <w:rPr>
          <w:rFonts w:hint="eastAsia" w:ascii="仿宋" w:hAnsi="仿宋" w:eastAsia="仿宋"/>
          <w:sz w:val="24"/>
        </w:rPr>
        <w:t>，下2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cm</w:t>
      </w:r>
      <w:r>
        <w:rPr>
          <w:rFonts w:hint="eastAsia" w:ascii="仿宋" w:hAnsi="仿宋" w:eastAsia="仿宋"/>
          <w:sz w:val="24"/>
        </w:rPr>
        <w:t>，左</w:t>
      </w: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cm</w:t>
      </w:r>
      <w:r>
        <w:rPr>
          <w:rFonts w:hint="eastAsia" w:ascii="仿宋" w:hAnsi="仿宋" w:eastAsia="仿宋"/>
          <w:sz w:val="24"/>
        </w:rPr>
        <w:t>，右</w:t>
      </w: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5</w:t>
      </w:r>
      <w:r>
        <w:rPr>
          <w:rFonts w:ascii="仿宋" w:hAnsi="仿宋" w:eastAsia="仿宋"/>
          <w:sz w:val="24"/>
        </w:rPr>
        <w:t>cm</w:t>
      </w:r>
      <w:r>
        <w:rPr>
          <w:rFonts w:hint="eastAsia" w:ascii="仿宋" w:hAnsi="仿宋" w:eastAsia="仿宋"/>
          <w:sz w:val="24"/>
        </w:rPr>
        <w:t>。</w:t>
      </w:r>
    </w:p>
    <w:p>
      <w:pPr>
        <w:widowControl/>
        <w:adjustRightInd w:val="0"/>
        <w:snapToGrid w:val="0"/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2．全</w:t>
      </w:r>
      <w:r>
        <w:rPr>
          <w:rFonts w:ascii="仿宋" w:hAnsi="仿宋" w:eastAsia="仿宋"/>
          <w:sz w:val="24"/>
        </w:rPr>
        <w:t>文行间距设为</w:t>
      </w:r>
      <w:r>
        <w:rPr>
          <w:rFonts w:hint="eastAsia" w:ascii="仿宋" w:hAnsi="仿宋" w:eastAsia="仿宋"/>
          <w:sz w:val="24"/>
        </w:rPr>
        <w:t>１．２５倍，表格内</w:t>
      </w:r>
      <w:r>
        <w:rPr>
          <w:rFonts w:ascii="仿宋" w:hAnsi="仿宋" w:eastAsia="仿宋"/>
          <w:sz w:val="24"/>
        </w:rPr>
        <w:t>行间距设为</w:t>
      </w:r>
      <w:r>
        <w:rPr>
          <w:rFonts w:hint="eastAsia" w:ascii="仿宋" w:hAnsi="仿宋" w:eastAsia="仿宋"/>
          <w:sz w:val="24"/>
        </w:rPr>
        <w:t>１倍</w:t>
      </w:r>
      <w:r>
        <w:rPr>
          <w:rFonts w:ascii="仿宋" w:hAnsi="仿宋" w:eastAsia="仿宋"/>
          <w:sz w:val="24"/>
        </w:rPr>
        <w:t>。段前段后间距均设为0。</w:t>
      </w:r>
    </w:p>
    <w:p>
      <w:pPr>
        <w:widowControl/>
        <w:adjustRightInd w:val="0"/>
        <w:snapToGrid w:val="0"/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3．一级标题为黑体4号字；</w:t>
      </w:r>
    </w:p>
    <w:p>
      <w:pPr>
        <w:widowControl/>
        <w:adjustRightInd w:val="0"/>
        <w:snapToGrid w:val="0"/>
        <w:spacing w:line="300" w:lineRule="auto"/>
        <w:ind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二、三级标题及正文的字体及字号均为仿宋小4号字；</w:t>
      </w:r>
    </w:p>
    <w:p>
      <w:pPr>
        <w:widowControl/>
        <w:adjustRightInd w:val="0"/>
        <w:snapToGrid w:val="0"/>
        <w:spacing w:line="300" w:lineRule="auto"/>
        <w:ind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表格内的字体及字号均为宋体5号字。</w:t>
      </w:r>
    </w:p>
    <w:p>
      <w:pPr>
        <w:widowControl/>
        <w:adjustRightInd w:val="0"/>
        <w:snapToGrid w:val="0"/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4．标点符号要在半角状态下录入。</w:t>
      </w:r>
    </w:p>
    <w:p>
      <w:pPr>
        <w:adjustRightInd w:val="0"/>
        <w:snapToGrid w:val="0"/>
        <w:spacing w:line="360" w:lineRule="auto"/>
        <w:ind w:right="15" w:rightChars="7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numPr>
          <w:ilvl w:val="0"/>
          <w:numId w:val="0"/>
        </w:numPr>
        <w:spacing w:line="500" w:lineRule="exac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0829"/>
    <w:multiLevelType w:val="singleLevel"/>
    <w:tmpl w:val="59FC0829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9FC245C"/>
    <w:multiLevelType w:val="singleLevel"/>
    <w:tmpl w:val="59FC24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FC2CF8"/>
    <w:multiLevelType w:val="singleLevel"/>
    <w:tmpl w:val="59FC2C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103B"/>
    <w:rsid w:val="0DB14820"/>
    <w:rsid w:val="11CA50EB"/>
    <w:rsid w:val="1E42129B"/>
    <w:rsid w:val="208C3595"/>
    <w:rsid w:val="31D501EF"/>
    <w:rsid w:val="45F34972"/>
    <w:rsid w:val="4E7304F5"/>
    <w:rsid w:val="595E68A6"/>
    <w:rsid w:val="5DE2282F"/>
    <w:rsid w:val="710A273F"/>
    <w:rsid w:val="7A982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2017-11-03T07:20:00Z</cp:lastPrinted>
  <dcterms:modified xsi:type="dcterms:W3CDTF">2017-11-07T07:01:24Z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